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6FA6C050"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F919B2">
        <w:rPr>
          <w:rFonts w:ascii="Arial" w:hAnsi="Arial" w:cs="Arial"/>
          <w:b/>
          <w:sz w:val="24"/>
          <w:szCs w:val="24"/>
          <w:lang w:val="en-US"/>
        </w:rPr>
        <w:t>2-bis</w:t>
      </w:r>
      <w:r w:rsidR="00D43146">
        <w:rPr>
          <w:rFonts w:ascii="Arial" w:hAnsi="Arial" w:cs="Arial"/>
          <w:b/>
          <w:sz w:val="24"/>
          <w:szCs w:val="24"/>
          <w:lang w:val="en-US"/>
        </w:rPr>
        <w:t xml:space="preserve"> </w:t>
      </w:r>
      <w:r w:rsidR="00D43146">
        <w:rPr>
          <w:rFonts w:ascii="Arial" w:hAnsi="Arial" w:cs="Arial"/>
          <w:b/>
          <w:sz w:val="24"/>
          <w:szCs w:val="24"/>
          <w:lang w:val="en-US"/>
        </w:rPr>
        <w:tab/>
      </w:r>
      <w:r w:rsidR="009307A4" w:rsidRPr="009307A4">
        <w:rPr>
          <w:rFonts w:ascii="Arial" w:hAnsi="Arial" w:cs="Arial"/>
          <w:b/>
          <w:sz w:val="24"/>
          <w:szCs w:val="24"/>
          <w:lang w:val="en-US"/>
        </w:rPr>
        <w:t>R4-2416276</w:t>
      </w:r>
    </w:p>
    <w:p w14:paraId="525953A8" w14:textId="5A5385D8" w:rsidR="00054954" w:rsidRPr="00F44C66" w:rsidRDefault="00F919B2"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Hefei</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Oct</w:t>
      </w:r>
      <w:r w:rsidR="00797886">
        <w:rPr>
          <w:rFonts w:ascii="Arial" w:hAnsi="Arial" w:cs="Arial"/>
          <w:b/>
          <w:sz w:val="24"/>
          <w:szCs w:val="24"/>
          <w:lang w:val="en-US"/>
        </w:rPr>
        <w:t xml:space="preserve"> </w:t>
      </w:r>
      <w:r>
        <w:rPr>
          <w:rFonts w:ascii="Arial" w:hAnsi="Arial" w:cs="Arial"/>
          <w:b/>
          <w:sz w:val="24"/>
          <w:szCs w:val="24"/>
          <w:lang w:val="en-US"/>
        </w:rPr>
        <w:t>14</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18</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Huawei, HiSilicon</w:t>
      </w:r>
    </w:p>
    <w:p w14:paraId="787D1100" w14:textId="0B5D6F4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D16C4E">
        <w:rPr>
          <w:rFonts w:ascii="Arial" w:hAnsi="Arial" w:cs="Arial"/>
          <w:sz w:val="22"/>
        </w:rPr>
        <w:t>Discussion on CLRA/CLTA</w:t>
      </w:r>
    </w:p>
    <w:p w14:paraId="71022389" w14:textId="414C6F7C"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F3FB4">
        <w:rPr>
          <w:rFonts w:ascii="Arial" w:eastAsia="Symbol" w:hAnsi="Arial" w:cs="Arial"/>
          <w:sz w:val="22"/>
        </w:rPr>
        <w:t>6.11.3</w:t>
      </w:r>
    </w:p>
    <w:p w14:paraId="7A1A2664" w14:textId="3DE4633C"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307A4" w:rsidRPr="009307A4">
        <w:rPr>
          <w:rFonts w:ascii="Aria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A7DAC78" w14:textId="0048F965" w:rsidR="00F919B2" w:rsidRDefault="006E0D2C" w:rsidP="00544735">
      <w:pPr>
        <w:rPr>
          <w:rFonts w:eastAsiaTheme="minorEastAsia"/>
        </w:rPr>
      </w:pPr>
      <w:r>
        <w:rPr>
          <w:rFonts w:eastAsiaTheme="minorEastAsia"/>
        </w:rPr>
        <w:t>In RAN4#112 the issue of OTA co-location testing was once again discussed. The agreements and open issues were captured in the WF [1]</w:t>
      </w:r>
      <w:r w:rsidR="00860A49">
        <w:rPr>
          <w:rFonts w:eastAsiaTheme="minorEastAsia"/>
        </w:rPr>
        <w:t>.</w:t>
      </w:r>
    </w:p>
    <w:p w14:paraId="681056EA" w14:textId="18C56DB1"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79BC748F" w14:textId="77777777" w:rsidR="006E0D2C" w:rsidRPr="006C7B37" w:rsidRDefault="006E0D2C" w:rsidP="006E0D2C">
      <w:pPr>
        <w:rPr>
          <w:color w:val="0070C0"/>
          <w:lang w:val="en-US"/>
        </w:rPr>
      </w:pPr>
      <w:r w:rsidRPr="006C7B37">
        <w:rPr>
          <w:rFonts w:hint="eastAsia"/>
          <w:b/>
          <w:bCs/>
          <w:iCs/>
          <w:color w:val="0070C0"/>
          <w:lang w:val="en-US"/>
        </w:rPr>
        <w:t>Issue 3-1: General</w:t>
      </w:r>
    </w:p>
    <w:p w14:paraId="4DD07B39"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en-AU"/>
        </w:rPr>
      </w:pPr>
      <w:r w:rsidRPr="006C7B37">
        <w:rPr>
          <w:rFonts w:hint="eastAsia"/>
          <w:color w:val="0070C0"/>
          <w:lang w:val="en-AU"/>
        </w:rPr>
        <w:t>Proposal 1: RAN4 shall continue to study/refine CLRA/CLTA definition, by targeting to prepare these definitions for 6G base station specification (i.e., it could be too late to change NR specification).</w:t>
      </w:r>
      <w:r w:rsidRPr="006C7B37">
        <w:rPr>
          <w:rFonts w:hint="eastAsia"/>
          <w:color w:val="0070C0"/>
          <w:lang w:val="en-US"/>
        </w:rPr>
        <w:t xml:space="preserve"> [Samsung]</w:t>
      </w:r>
    </w:p>
    <w:p w14:paraId="52141B7D"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en-AU"/>
        </w:rPr>
      </w:pPr>
      <w:r w:rsidRPr="006C7B37">
        <w:rPr>
          <w:rFonts w:hint="eastAsia"/>
          <w:color w:val="0070C0"/>
          <w:lang w:val="en-AU"/>
        </w:rPr>
        <w:t xml:space="preserve">Proposal 2: RAN4 could consider to study the CLRA definition in a longer timeframe, e.g., to suggest RAN-P to extend this study to next release if more time/study is identified to be needed. </w:t>
      </w:r>
      <w:r w:rsidRPr="006C7B37">
        <w:rPr>
          <w:rFonts w:hint="eastAsia"/>
          <w:color w:val="0070C0"/>
          <w:lang w:val="en-US"/>
        </w:rPr>
        <w:t>[Samsung]</w:t>
      </w:r>
    </w:p>
    <w:p w14:paraId="686F65D2" w14:textId="60C39B3F" w:rsidR="006E0D2C" w:rsidRPr="006C7B37" w:rsidRDefault="006E0D2C" w:rsidP="006E0D2C">
      <w:pPr>
        <w:pStyle w:val="afff1"/>
        <w:numPr>
          <w:ilvl w:val="0"/>
          <w:numId w:val="10"/>
        </w:numPr>
        <w:overflowPunct/>
        <w:autoSpaceDE/>
        <w:autoSpaceDN/>
        <w:adjustRightInd/>
        <w:spacing w:after="120" w:line="259" w:lineRule="auto"/>
        <w:ind w:left="720" w:firstLineChars="0"/>
        <w:textAlignment w:val="auto"/>
        <w:rPr>
          <w:color w:val="0070C0"/>
          <w:szCs w:val="24"/>
        </w:rPr>
      </w:pPr>
      <w:r w:rsidRPr="006C7B37">
        <w:rPr>
          <w:rFonts w:hint="eastAsia"/>
          <w:color w:val="0070C0"/>
          <w:szCs w:val="24"/>
          <w:lang w:val="en-US"/>
        </w:rPr>
        <w:t>Recommended for discussion</w:t>
      </w:r>
    </w:p>
    <w:p w14:paraId="14A21A35"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en-US"/>
        </w:rPr>
      </w:pPr>
      <w:r w:rsidRPr="006C7B37">
        <w:rPr>
          <w:rFonts w:eastAsia="Times New Roman" w:hint="eastAsia"/>
          <w:color w:val="0070C0"/>
          <w:lang w:val="en-US"/>
        </w:rPr>
        <w:t>Proposal 2 needs further discussions since this is not aligned with the current work plan for this WID.</w:t>
      </w:r>
    </w:p>
    <w:p w14:paraId="29D432D4" w14:textId="77777777" w:rsidR="006E0D2C" w:rsidRPr="006C7B37" w:rsidRDefault="006E0D2C" w:rsidP="006E0D2C">
      <w:pPr>
        <w:pStyle w:val="afff1"/>
        <w:numPr>
          <w:ilvl w:val="2"/>
          <w:numId w:val="10"/>
        </w:numPr>
        <w:overflowPunct/>
        <w:autoSpaceDE/>
        <w:autoSpaceDN/>
        <w:adjustRightInd/>
        <w:spacing w:after="120" w:line="259" w:lineRule="auto"/>
        <w:ind w:left="1860" w:firstLineChars="0"/>
        <w:textAlignment w:val="auto"/>
        <w:rPr>
          <w:rFonts w:eastAsia="Times New Roman"/>
          <w:color w:val="0070C0"/>
          <w:lang w:val="en-US"/>
        </w:rPr>
      </w:pPr>
      <w:r w:rsidRPr="006C7B37">
        <w:rPr>
          <w:rFonts w:eastAsia="Times New Roman" w:hint="eastAsia"/>
          <w:color w:val="0070C0"/>
          <w:lang w:val="en-US"/>
        </w:rPr>
        <w:t xml:space="preserve">RAN4 are working on the proposal 1 to identify the appropriate </w:t>
      </w:r>
      <w:r w:rsidRPr="006C7B37">
        <w:rPr>
          <w:rFonts w:hint="eastAsia"/>
          <w:color w:val="0070C0"/>
          <w:lang w:val="en-AU"/>
        </w:rPr>
        <w:t>CLTA definition</w:t>
      </w:r>
      <w:r w:rsidRPr="006C7B37">
        <w:rPr>
          <w:rFonts w:hint="eastAsia"/>
          <w:color w:val="0070C0"/>
          <w:lang w:val="en-US"/>
        </w:rPr>
        <w:t>.</w:t>
      </w:r>
    </w:p>
    <w:p w14:paraId="4CAEC51C" w14:textId="4B27AC9B" w:rsidR="006E0D2C" w:rsidRDefault="006E0D2C" w:rsidP="006E0D2C">
      <w:pPr>
        <w:rPr>
          <w:b/>
          <w:bCs/>
          <w:iCs/>
          <w:lang w:val="en-US"/>
        </w:rPr>
      </w:pPr>
    </w:p>
    <w:p w14:paraId="4C15A5A7" w14:textId="4ADB1810" w:rsidR="006E0D2C" w:rsidRDefault="006E0D2C" w:rsidP="006E0D2C">
      <w:pPr>
        <w:rPr>
          <w:bCs/>
          <w:iCs/>
          <w:lang w:val="en-US"/>
        </w:rPr>
      </w:pPr>
      <w:r w:rsidRPr="006E0D2C">
        <w:rPr>
          <w:bCs/>
          <w:iCs/>
          <w:lang w:val="en-US"/>
        </w:rPr>
        <w:t>In general we do not see an issue with the CLRA definition</w:t>
      </w:r>
      <w:r>
        <w:rPr>
          <w:bCs/>
          <w:iCs/>
          <w:lang w:val="en-US"/>
        </w:rPr>
        <w:t>, whilst it is understood that the CLTA represents some challenges in finding appropriate antennas to carry out the testing the basic premise of a worst case co-location scenario which the CLRA describes is still valid.</w:t>
      </w:r>
    </w:p>
    <w:p w14:paraId="5237030A" w14:textId="253D7557" w:rsidR="006E0D2C" w:rsidRDefault="006E0D2C" w:rsidP="006E0D2C">
      <w:pPr>
        <w:rPr>
          <w:bCs/>
          <w:iCs/>
          <w:lang w:val="en-US"/>
        </w:rPr>
      </w:pPr>
      <w:r>
        <w:rPr>
          <w:bCs/>
          <w:iCs/>
          <w:lang w:val="en-US"/>
        </w:rPr>
        <w:t xml:space="preserve">There seems to be a misunderstanding that the OTA co-location scenario is intended to produce the 30dB MCL assumed for the conducted co-location requirements, and as such </w:t>
      </w:r>
      <w:r w:rsidR="00664694">
        <w:rPr>
          <w:bCs/>
          <w:iCs/>
          <w:lang w:val="en-US"/>
        </w:rPr>
        <w:t>i</w:t>
      </w:r>
      <w:r>
        <w:rPr>
          <w:bCs/>
          <w:iCs/>
          <w:lang w:val="en-US"/>
        </w:rPr>
        <w:t>s not achieving this as the frequency increases. This is not the case, the OTA co-location scenario is the same worst case from which the 30dB MCL was derived (at 2GHz)but as the OTA system has an antenna there is no need to make a general assumption of MCL as it is inherent in the definition and the test scenario.</w:t>
      </w:r>
    </w:p>
    <w:p w14:paraId="74CE6694" w14:textId="74D73F6B" w:rsidR="006E0D2C" w:rsidRDefault="006E0D2C" w:rsidP="006E0D2C">
      <w:pPr>
        <w:rPr>
          <w:bCs/>
          <w:iCs/>
          <w:lang w:val="en-US"/>
        </w:rPr>
      </w:pPr>
      <w:r>
        <w:rPr>
          <w:bCs/>
          <w:iCs/>
          <w:lang w:val="en-US"/>
        </w:rPr>
        <w:t>The only reason to change or perhaps expand the CLRA definition would be:</w:t>
      </w:r>
    </w:p>
    <w:p w14:paraId="26A9553F" w14:textId="4F551E5D" w:rsidR="006E0D2C" w:rsidRDefault="006E0D2C" w:rsidP="006E0D2C">
      <w:pPr>
        <w:pStyle w:val="afff1"/>
        <w:numPr>
          <w:ilvl w:val="0"/>
          <w:numId w:val="37"/>
        </w:numPr>
        <w:ind w:firstLineChars="0"/>
        <w:rPr>
          <w:bCs/>
          <w:iCs/>
          <w:lang w:val="en-US"/>
        </w:rPr>
      </w:pPr>
      <w:r>
        <w:rPr>
          <w:bCs/>
          <w:iCs/>
          <w:lang w:val="en-US"/>
        </w:rPr>
        <w:t>The worst case scenario is no longer valid i.e. it is significantly harder (or easier even)</w:t>
      </w:r>
    </w:p>
    <w:p w14:paraId="0F7AC6EE" w14:textId="010CD0EF" w:rsidR="006E0D2C" w:rsidRPr="006E0D2C" w:rsidRDefault="006E0D2C" w:rsidP="006E0D2C">
      <w:pPr>
        <w:pStyle w:val="afff1"/>
        <w:numPr>
          <w:ilvl w:val="0"/>
          <w:numId w:val="37"/>
        </w:numPr>
        <w:ind w:firstLineChars="0"/>
        <w:rPr>
          <w:bCs/>
          <w:iCs/>
          <w:lang w:val="en-US"/>
        </w:rPr>
      </w:pPr>
      <w:r>
        <w:rPr>
          <w:bCs/>
          <w:iCs/>
          <w:lang w:val="en-US"/>
        </w:rPr>
        <w:t>New products make the current scenario unsuitable.</w:t>
      </w:r>
    </w:p>
    <w:p w14:paraId="476AA187" w14:textId="77777777" w:rsidR="006E0D2C" w:rsidRPr="006E0D2C" w:rsidRDefault="006E0D2C" w:rsidP="006E0D2C">
      <w:pPr>
        <w:rPr>
          <w:b/>
          <w:bCs/>
          <w:iCs/>
          <w:lang w:val="en-US"/>
        </w:rPr>
      </w:pPr>
    </w:p>
    <w:p w14:paraId="67CC91B2" w14:textId="77777777" w:rsidR="006E0D2C" w:rsidRPr="006C7B37" w:rsidRDefault="006E0D2C" w:rsidP="006E0D2C">
      <w:pPr>
        <w:rPr>
          <w:color w:val="0070C0"/>
          <w:lang w:val="sv-SE"/>
        </w:rPr>
      </w:pPr>
      <w:r w:rsidRPr="006C7B37">
        <w:rPr>
          <w:rFonts w:hint="eastAsia"/>
          <w:b/>
          <w:bCs/>
          <w:iCs/>
          <w:color w:val="0070C0"/>
          <w:lang w:val="en-US"/>
        </w:rPr>
        <w:t>Issue 3-2: Co-location reference antenna</w:t>
      </w:r>
    </w:p>
    <w:p w14:paraId="2DFE414B"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sv-SE"/>
        </w:rPr>
      </w:pPr>
      <w:r w:rsidRPr="006C7B37">
        <w:rPr>
          <w:rFonts w:hint="eastAsia"/>
          <w:color w:val="0070C0"/>
          <w:lang w:val="sv-SE"/>
        </w:rPr>
        <w:t>Proposal 1: Based on observed technical issues with current definition of transmitter spurious emission requirement and receiver out-of-band blocking requirement for BS type 1-O</w:t>
      </w:r>
      <w:r w:rsidRPr="006C7B37">
        <w:rPr>
          <w:rFonts w:hint="eastAsia"/>
          <w:color w:val="0070C0"/>
          <w:lang w:val="en-US"/>
        </w:rPr>
        <w:t xml:space="preserve">, </w:t>
      </w:r>
      <w:r w:rsidRPr="006C7B37">
        <w:rPr>
          <w:rFonts w:hint="eastAsia"/>
          <w:color w:val="0070C0"/>
          <w:lang w:val="sv-SE"/>
        </w:rPr>
        <w:t xml:space="preserve"> adopt the workflow above to enable an evolution for BS RF co-location requirements supporting larger array antenna structures operating at frequencies above 2.5 GHz. </w:t>
      </w:r>
      <w:r w:rsidRPr="006C7B37">
        <w:rPr>
          <w:rFonts w:hint="eastAsia"/>
          <w:color w:val="0070C0"/>
          <w:lang w:val="en-US"/>
        </w:rPr>
        <w:t xml:space="preserve"> [Ericsson]</w:t>
      </w:r>
    </w:p>
    <w:p w14:paraId="0E1B95BE"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jc w:val="center"/>
        <w:textAlignment w:val="auto"/>
        <w:rPr>
          <w:color w:val="0070C0"/>
          <w:lang w:val="sv-SE"/>
        </w:rPr>
      </w:pPr>
      <w:r w:rsidRPr="006C7B37">
        <w:rPr>
          <w:noProof/>
          <w:color w:val="0070C0"/>
          <w:lang w:val="en-US"/>
        </w:rPr>
        <w:lastRenderedPageBreak/>
        <w:drawing>
          <wp:inline distT="0" distB="0" distL="0" distR="0" wp14:anchorId="3EDF130B" wp14:editId="0EEA627E">
            <wp:extent cx="1856105" cy="3182620"/>
            <wp:effectExtent l="0" t="0" r="10795" b="1778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61471" cy="3191094"/>
                    </a:xfrm>
                    <a:prstGeom prst="rect">
                      <a:avLst/>
                    </a:prstGeom>
                    <a:noFill/>
                    <a:ln>
                      <a:noFill/>
                    </a:ln>
                  </pic:spPr>
                </pic:pic>
              </a:graphicData>
            </a:graphic>
          </wp:inline>
        </w:drawing>
      </w:r>
    </w:p>
    <w:p w14:paraId="534C560A"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en-AU"/>
        </w:rPr>
      </w:pPr>
      <w:r w:rsidRPr="006C7B37">
        <w:rPr>
          <w:rFonts w:hint="eastAsia"/>
          <w:color w:val="0070C0"/>
          <w:lang w:val="en-AU"/>
        </w:rPr>
        <w:t xml:space="preserve">Proposal </w:t>
      </w:r>
      <w:r w:rsidRPr="006C7B37">
        <w:rPr>
          <w:rFonts w:hint="eastAsia"/>
          <w:color w:val="0070C0"/>
          <w:lang w:val="en-US"/>
        </w:rPr>
        <w:t>2</w:t>
      </w:r>
      <w:r w:rsidRPr="006C7B37">
        <w:rPr>
          <w:rFonts w:hint="eastAsia"/>
          <w:color w:val="0070C0"/>
          <w:lang w:val="en-AU"/>
        </w:rPr>
        <w:t xml:space="preserve">: RAN4 shall set up an evaluation plan to evaluate the antenna isolation in the AAS-to-AAS co-location deployment scenario, with the following parameters considered: </w:t>
      </w:r>
      <w:r w:rsidRPr="006C7B37">
        <w:rPr>
          <w:rFonts w:hint="eastAsia"/>
          <w:color w:val="0070C0"/>
          <w:lang w:val="en-US"/>
        </w:rPr>
        <w:t xml:space="preserve"> [Samsung]</w:t>
      </w:r>
    </w:p>
    <w:p w14:paraId="328DAA6E" w14:textId="77777777" w:rsidR="006E0D2C" w:rsidRPr="006C7B37" w:rsidRDefault="006E0D2C" w:rsidP="006E0D2C">
      <w:pPr>
        <w:pStyle w:val="afff1"/>
        <w:numPr>
          <w:ilvl w:val="0"/>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 xml:space="preserve">3 sector scenario is under consideration: </w:t>
      </w:r>
    </w:p>
    <w:p w14:paraId="7FD00DE8" w14:textId="77777777" w:rsidR="006E0D2C" w:rsidRPr="006C7B37" w:rsidRDefault="006E0D2C" w:rsidP="006E0D2C">
      <w:pPr>
        <w:pStyle w:val="afff1"/>
        <w:numPr>
          <w:ilvl w:val="1"/>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The angle between every two sectors’ boresight directions is 120 degree</w:t>
      </w:r>
      <w:r w:rsidRPr="006C7B37">
        <w:rPr>
          <w:rFonts w:eastAsiaTheme="minorEastAsia" w:hint="eastAsia"/>
          <w:color w:val="0070C0"/>
          <w:lang w:val="en-US"/>
        </w:rPr>
        <w:t>s</w:t>
      </w:r>
      <w:r w:rsidRPr="006C7B37">
        <w:rPr>
          <w:rFonts w:eastAsiaTheme="minorEastAsia"/>
          <w:color w:val="0070C0"/>
          <w:lang w:val="en-US"/>
        </w:rPr>
        <w:t>;</w:t>
      </w:r>
    </w:p>
    <w:p w14:paraId="6BB27637" w14:textId="77777777" w:rsidR="006E0D2C" w:rsidRPr="006C7B37" w:rsidRDefault="006E0D2C" w:rsidP="006E0D2C">
      <w:pPr>
        <w:pStyle w:val="afff1"/>
        <w:numPr>
          <w:ilvl w:val="1"/>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Sector antenna panel’s width is 180mm;</w:t>
      </w:r>
    </w:p>
    <w:p w14:paraId="386DFC6A" w14:textId="77777777" w:rsidR="006E0D2C" w:rsidRPr="006C7B37" w:rsidRDefault="006E0D2C" w:rsidP="006E0D2C">
      <w:pPr>
        <w:pStyle w:val="afff1"/>
        <w:numPr>
          <w:ilvl w:val="1"/>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Between two sectors’ antenna panel:</w:t>
      </w:r>
    </w:p>
    <w:p w14:paraId="6E793FA7" w14:textId="77777777" w:rsidR="006E0D2C" w:rsidRPr="006C7B37" w:rsidRDefault="006E0D2C" w:rsidP="006E0D2C">
      <w:pPr>
        <w:pStyle w:val="afff1"/>
        <w:numPr>
          <w:ilvl w:val="2"/>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The center-to-center distance is: 150mm;</w:t>
      </w:r>
    </w:p>
    <w:p w14:paraId="3C8BDF02" w14:textId="77777777" w:rsidR="006E0D2C" w:rsidRPr="006C7B37" w:rsidRDefault="006E0D2C" w:rsidP="006E0D2C">
      <w:pPr>
        <w:pStyle w:val="afff1"/>
        <w:numPr>
          <w:ilvl w:val="2"/>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The nearest distance between edge to edge is: 60mm;</w:t>
      </w:r>
    </w:p>
    <w:p w14:paraId="5CF71496" w14:textId="77777777" w:rsidR="006E0D2C" w:rsidRPr="006C7B37" w:rsidRDefault="006E0D2C" w:rsidP="006E0D2C">
      <w:pPr>
        <w:pStyle w:val="afff1"/>
        <w:numPr>
          <w:ilvl w:val="1"/>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 xml:space="preserve">For each antenna panel: </w:t>
      </w:r>
    </w:p>
    <w:p w14:paraId="0DDD9590" w14:textId="77777777" w:rsidR="006E0D2C" w:rsidRPr="006C7B37" w:rsidRDefault="006E0D2C" w:rsidP="006E0D2C">
      <w:pPr>
        <w:pStyle w:val="afff1"/>
        <w:numPr>
          <w:ilvl w:val="2"/>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Non-SBFD case: M column and N rows in each antenna panel;</w:t>
      </w:r>
    </w:p>
    <w:p w14:paraId="08BF6B57" w14:textId="77777777" w:rsidR="006E0D2C" w:rsidRPr="006C7B37" w:rsidRDefault="006E0D2C" w:rsidP="006E0D2C">
      <w:pPr>
        <w:pStyle w:val="afff1"/>
        <w:numPr>
          <w:ilvl w:val="2"/>
          <w:numId w:val="35"/>
        </w:numPr>
        <w:spacing w:line="260" w:lineRule="auto"/>
        <w:ind w:leftChars="800" w:left="1963" w:firstLineChars="0" w:hanging="363"/>
        <w:jc w:val="both"/>
        <w:rPr>
          <w:rFonts w:eastAsiaTheme="minorEastAsia"/>
          <w:color w:val="0070C0"/>
          <w:lang w:val="en-US"/>
        </w:rPr>
      </w:pPr>
      <w:r w:rsidRPr="006C7B37">
        <w:rPr>
          <w:rFonts w:eastAsiaTheme="minorEastAsia"/>
          <w:color w:val="0070C0"/>
          <w:lang w:val="en-US"/>
        </w:rPr>
        <w:t>SBFD case: M column and 2*N rows in each antenna panel, with certain structure between TX/RX panels;</w:t>
      </w:r>
    </w:p>
    <w:p w14:paraId="32859AA9" w14:textId="77777777" w:rsidR="006E0D2C" w:rsidRPr="006C7B37" w:rsidRDefault="006E0D2C" w:rsidP="006E0D2C">
      <w:pPr>
        <w:pStyle w:val="afff1"/>
        <w:numPr>
          <w:ilvl w:val="1"/>
          <w:numId w:val="35"/>
        </w:numPr>
        <w:spacing w:line="260" w:lineRule="auto"/>
        <w:ind w:leftChars="800" w:left="1963" w:firstLineChars="0" w:hanging="363"/>
        <w:jc w:val="both"/>
        <w:rPr>
          <w:color w:val="0070C0"/>
          <w:lang w:val="sv-SE"/>
        </w:rPr>
      </w:pPr>
      <w:r w:rsidRPr="006C7B37">
        <w:rPr>
          <w:rFonts w:eastAsiaTheme="minorEastAsia"/>
          <w:color w:val="0070C0"/>
          <w:lang w:val="en-US"/>
        </w:rPr>
        <w:t>3.5GHz/upper 6G</w:t>
      </w:r>
      <w:r w:rsidRPr="006C7B37">
        <w:rPr>
          <w:rFonts w:eastAsiaTheme="minorEastAsia" w:hint="eastAsia"/>
          <w:color w:val="0070C0"/>
          <w:lang w:val="en-US"/>
        </w:rPr>
        <w:t>H</w:t>
      </w:r>
      <w:r w:rsidRPr="006C7B37">
        <w:rPr>
          <w:rFonts w:eastAsiaTheme="minorEastAsia"/>
          <w:color w:val="0070C0"/>
          <w:lang w:val="en-US"/>
        </w:rPr>
        <w:t>z for operating frequency, with 100MHz bandwidth.</w:t>
      </w:r>
    </w:p>
    <w:p w14:paraId="4A8B05C2" w14:textId="02826B1C"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sv-SE"/>
        </w:rPr>
      </w:pPr>
      <w:r w:rsidRPr="006C7B37">
        <w:rPr>
          <w:rFonts w:hint="eastAsia"/>
          <w:color w:val="0070C0"/>
          <w:lang w:val="en-AU"/>
        </w:rPr>
        <w:t xml:space="preserve">Proposal </w:t>
      </w:r>
      <w:r w:rsidRPr="006C7B37">
        <w:rPr>
          <w:rFonts w:hint="eastAsia"/>
          <w:color w:val="0070C0"/>
          <w:lang w:val="en-US"/>
        </w:rPr>
        <w:t>3</w:t>
      </w:r>
      <w:r w:rsidRPr="006C7B37">
        <w:rPr>
          <w:rFonts w:hint="eastAsia"/>
          <w:color w:val="0070C0"/>
          <w:lang w:val="en-AU"/>
        </w:rPr>
        <w:t>: After identifying the required MCL values for the co-location deployment scenario for different frequency bands, RAN4 can use the antenna port-to-port isolation estimation for side-by-side CLRA setup to identify 0.1m separation is enough or not. (Note: the Table in R4-1706766 could be the exemplary antenna port-to-port isolation estimation).</w:t>
      </w:r>
      <w:r w:rsidRPr="006C7B37">
        <w:rPr>
          <w:rFonts w:hint="eastAsia"/>
          <w:color w:val="0070C0"/>
          <w:lang w:val="en-US"/>
        </w:rPr>
        <w:t xml:space="preserve"> [Samsung]</w:t>
      </w:r>
    </w:p>
    <w:p w14:paraId="5268BE70" w14:textId="7ECCD51C" w:rsidR="006E0D2C" w:rsidRPr="006C7B37" w:rsidRDefault="006E0D2C" w:rsidP="006E0D2C">
      <w:pPr>
        <w:pStyle w:val="afff1"/>
        <w:numPr>
          <w:ilvl w:val="0"/>
          <w:numId w:val="10"/>
        </w:numPr>
        <w:overflowPunct/>
        <w:autoSpaceDE/>
        <w:autoSpaceDN/>
        <w:adjustRightInd/>
        <w:spacing w:after="120" w:line="259" w:lineRule="auto"/>
        <w:ind w:left="720" w:firstLineChars="0"/>
        <w:textAlignment w:val="auto"/>
        <w:rPr>
          <w:color w:val="0070C0"/>
          <w:szCs w:val="24"/>
        </w:rPr>
      </w:pPr>
      <w:r w:rsidRPr="006C7B37">
        <w:rPr>
          <w:rFonts w:hint="eastAsia"/>
          <w:color w:val="0070C0"/>
          <w:szCs w:val="24"/>
          <w:lang w:val="en-US"/>
        </w:rPr>
        <w:t>Recommended for discussion</w:t>
      </w:r>
    </w:p>
    <w:p w14:paraId="175EBC29"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en-US"/>
        </w:rPr>
      </w:pPr>
      <w:r w:rsidRPr="006C7B37">
        <w:rPr>
          <w:rFonts w:eastAsia="Times New Roman" w:hint="eastAsia"/>
          <w:color w:val="0070C0"/>
          <w:lang w:val="en-US"/>
        </w:rPr>
        <w:t xml:space="preserve">Further discuss the above proposals.  </w:t>
      </w:r>
    </w:p>
    <w:p w14:paraId="286532D5"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en-US"/>
        </w:rPr>
      </w:pPr>
      <w:r w:rsidRPr="006C7B37">
        <w:rPr>
          <w:rFonts w:eastAsia="Times New Roman" w:hint="eastAsia"/>
          <w:color w:val="0070C0"/>
          <w:lang w:val="en-US"/>
        </w:rPr>
        <w:t>Further discuss whether the side by side co-location deployment is typical scenario or worst assumption;</w:t>
      </w:r>
    </w:p>
    <w:p w14:paraId="4D5BE939"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en-US"/>
        </w:rPr>
      </w:pPr>
      <w:r w:rsidRPr="006C7B37">
        <w:rPr>
          <w:rFonts w:eastAsia="Times New Roman" w:hint="eastAsia"/>
          <w:color w:val="0070C0"/>
          <w:lang w:val="en-US"/>
        </w:rPr>
        <w:t xml:space="preserve">If RAN4 agree to conduct the Electromagnetic (EM) evaluation for spatial isolation between BSs after co-location scenarios, </w:t>
      </w:r>
    </w:p>
    <w:p w14:paraId="5A0F135C" w14:textId="77777777" w:rsidR="006E0D2C" w:rsidRPr="006C7B37" w:rsidRDefault="006E0D2C" w:rsidP="006E0D2C">
      <w:pPr>
        <w:pStyle w:val="afff1"/>
        <w:numPr>
          <w:ilvl w:val="0"/>
          <w:numId w:val="36"/>
        </w:numPr>
        <w:overflowPunct/>
        <w:autoSpaceDE/>
        <w:autoSpaceDN/>
        <w:adjustRightInd/>
        <w:spacing w:after="120" w:line="260" w:lineRule="auto"/>
        <w:ind w:leftChars="900" w:left="1800" w:firstLine="400"/>
        <w:textAlignment w:val="auto"/>
        <w:rPr>
          <w:color w:val="0070C0"/>
          <w:lang w:val="en-US"/>
        </w:rPr>
      </w:pPr>
      <w:r w:rsidRPr="006C7B37">
        <w:rPr>
          <w:rFonts w:hint="eastAsia"/>
          <w:color w:val="0070C0"/>
          <w:lang w:val="en-US"/>
        </w:rPr>
        <w:t xml:space="preserve">Option 1:   HFSS, </w:t>
      </w:r>
      <w:proofErr w:type="spellStart"/>
      <w:r w:rsidRPr="006C7B37">
        <w:rPr>
          <w:rFonts w:hint="eastAsia"/>
          <w:color w:val="0070C0"/>
          <w:lang w:val="en-US"/>
        </w:rPr>
        <w:t>cst</w:t>
      </w:r>
      <w:proofErr w:type="spellEnd"/>
      <w:r w:rsidRPr="006C7B37">
        <w:rPr>
          <w:rFonts w:hint="eastAsia"/>
          <w:color w:val="0070C0"/>
          <w:lang w:val="en-US"/>
        </w:rPr>
        <w:t xml:space="preserve">, </w:t>
      </w:r>
      <w:proofErr w:type="spellStart"/>
      <w:r w:rsidRPr="006C7B37">
        <w:rPr>
          <w:rFonts w:hint="eastAsia"/>
          <w:color w:val="0070C0"/>
          <w:lang w:val="en-US"/>
        </w:rPr>
        <w:t>feko</w:t>
      </w:r>
      <w:proofErr w:type="spellEnd"/>
    </w:p>
    <w:p w14:paraId="0F66A098" w14:textId="77777777" w:rsidR="006E0D2C" w:rsidRPr="006C7B37" w:rsidRDefault="006E0D2C" w:rsidP="006E0D2C">
      <w:pPr>
        <w:pStyle w:val="afff1"/>
        <w:numPr>
          <w:ilvl w:val="0"/>
          <w:numId w:val="36"/>
        </w:numPr>
        <w:overflowPunct/>
        <w:autoSpaceDE/>
        <w:autoSpaceDN/>
        <w:adjustRightInd/>
        <w:spacing w:after="120" w:line="260" w:lineRule="auto"/>
        <w:ind w:leftChars="900" w:left="1800" w:firstLine="400"/>
        <w:textAlignment w:val="auto"/>
        <w:rPr>
          <w:color w:val="0070C0"/>
          <w:lang w:val="en-US"/>
        </w:rPr>
      </w:pPr>
      <w:r w:rsidRPr="006C7B37">
        <w:rPr>
          <w:rFonts w:hint="eastAsia"/>
          <w:color w:val="0070C0"/>
          <w:lang w:val="en-US"/>
        </w:rPr>
        <w:t>Option 2: measurement results in the testing lab.</w:t>
      </w:r>
    </w:p>
    <w:p w14:paraId="6F2B9778" w14:textId="32D32F66" w:rsidR="006E0D2C" w:rsidRDefault="006E0D2C" w:rsidP="006E0D2C">
      <w:r>
        <w:lastRenderedPageBreak/>
        <w:t>The side by side worst case assumption is based on the assumption that BS antennas (both AAS and non-AAS) are taller than wide, as such the maximum coupling occurs along the vertical edge</w:t>
      </w:r>
      <w:r w:rsidR="00337992">
        <w:t>. This was verified by measurements and simulations during the AAS WI.</w:t>
      </w:r>
    </w:p>
    <w:p w14:paraId="0D98EB29" w14:textId="4AEEC0C8" w:rsidR="00337992" w:rsidRDefault="00337992" w:rsidP="006E0D2C">
      <w:r>
        <w:t>Our understanding is that this is generally still the case so remains valid, although of course if systems with antennas wider than they are tall then it would be simple enough to include this case.</w:t>
      </w:r>
    </w:p>
    <w:p w14:paraId="4466A288" w14:textId="41CB5B4E" w:rsidR="00337992" w:rsidRDefault="00337992" w:rsidP="006E0D2C">
      <w:r>
        <w:t xml:space="preserve">The other issue discussed is that with wide arrays as the co-located system the existing CLRA definition is no longer worst case? During the AAS WI this was also </w:t>
      </w:r>
      <w:r w:rsidR="000F157A">
        <w:t>consider</w:t>
      </w:r>
      <w:r>
        <w:t xml:space="preserve"> and some </w:t>
      </w:r>
      <w:r w:rsidR="000F157A">
        <w:t>measurements</w:t>
      </w:r>
      <w:r>
        <w:t xml:space="preserve"> and simulations were done.</w:t>
      </w:r>
      <w:r w:rsidR="000F157A">
        <w:t xml:space="preserve"> As perhaps expected the greatest coupling as between the closer 2 columns. Power coupled to subsequent columns in the victim array was lower the further it was from the aggressor. As such if all the victim receivers are connected to the closest column (i.e. a single column CLRA) then this will be a worse case. Whilst it is understood that high frequency AAS are most likely to be multi-column systems the single column victim still represents as worse case. The argument could be made that the requirement is therefore to</w:t>
      </w:r>
      <w:r w:rsidR="00664694">
        <w:t>o</w:t>
      </w:r>
      <w:r w:rsidR="000F157A">
        <w:t xml:space="preserve"> difficult and a multi-column CLRA would avoid over specification? isolation increases as frequency goes up, designing for co-location generally gets easier naturally and its not clear that th</w:t>
      </w:r>
      <w:r w:rsidR="00D16C4E">
        <w:t>i</w:t>
      </w:r>
      <w:r w:rsidR="000F157A">
        <w:t>s modification is required. In addition the purpose of the WI was to simplify the sourcing of the CLTA, by making the CLRA a mu</w:t>
      </w:r>
      <w:r w:rsidR="00D16C4E">
        <w:t>lt</w:t>
      </w:r>
      <w:r w:rsidR="000F157A">
        <w:t>i-column antenna it seems the opposite would be achieved.</w:t>
      </w:r>
    </w:p>
    <w:p w14:paraId="44579091" w14:textId="524C0F2B" w:rsidR="00337992" w:rsidRPr="006E0D2C" w:rsidRDefault="00337992" w:rsidP="006E0D2C">
      <w:r>
        <w:t>As to if the 0.1m separation is enough? Potentially with smaller high frequency systems it will be possible to place antenna closer together than 10cm which was very close for larger low frequency antennas. However at this stage we have not seen any claims that 10cm separation is restrictive and needs updating? If this is the case then the existing CLRA definition could easily be updated to reflect this.</w:t>
      </w:r>
    </w:p>
    <w:p w14:paraId="765ED5E5" w14:textId="77777777" w:rsidR="006E0D2C" w:rsidRPr="006C7B37" w:rsidRDefault="006E0D2C" w:rsidP="006E0D2C">
      <w:pPr>
        <w:rPr>
          <w:color w:val="0070C0"/>
          <w:lang w:val="en-US"/>
        </w:rPr>
      </w:pPr>
      <w:r w:rsidRPr="006C7B37">
        <w:rPr>
          <w:rFonts w:hint="eastAsia"/>
          <w:b/>
          <w:bCs/>
          <w:iCs/>
          <w:color w:val="0070C0"/>
          <w:lang w:val="en-US"/>
        </w:rPr>
        <w:t xml:space="preserve">Issue 3-3: MCL assumption </w:t>
      </w:r>
    </w:p>
    <w:p w14:paraId="2F40A369"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sv-SE"/>
        </w:rPr>
      </w:pPr>
      <w:r w:rsidRPr="006C7B37">
        <w:rPr>
          <w:rFonts w:hint="eastAsia"/>
          <w:color w:val="0070C0"/>
          <w:lang w:val="en-US"/>
        </w:rPr>
        <w:t>Proposal 1:</w:t>
      </w:r>
      <w:r w:rsidRPr="006C7B37">
        <w:rPr>
          <w:rFonts w:hint="eastAsia"/>
          <w:color w:val="0070C0"/>
          <w:lang w:val="sv-SE"/>
        </w:rPr>
        <w:t xml:space="preserve"> Keep the existing assumption of 30dB coupling loss.</w:t>
      </w:r>
      <w:r w:rsidRPr="006C7B37">
        <w:rPr>
          <w:rFonts w:hint="eastAsia"/>
          <w:color w:val="0070C0"/>
          <w:lang w:val="en-US"/>
        </w:rPr>
        <w:t xml:space="preserve"> [Nokia]</w:t>
      </w:r>
    </w:p>
    <w:p w14:paraId="5DC9B84D" w14:textId="77777777" w:rsidR="006E0D2C" w:rsidRPr="006C7B37" w:rsidRDefault="006E0D2C" w:rsidP="006E0D2C">
      <w:pPr>
        <w:pStyle w:val="afff1"/>
        <w:numPr>
          <w:ilvl w:val="0"/>
          <w:numId w:val="10"/>
        </w:numPr>
        <w:overflowPunct/>
        <w:autoSpaceDE/>
        <w:autoSpaceDN/>
        <w:adjustRightInd/>
        <w:spacing w:after="120" w:line="259" w:lineRule="auto"/>
        <w:ind w:left="720" w:firstLineChars="0"/>
        <w:textAlignment w:val="auto"/>
        <w:rPr>
          <w:color w:val="0070C0"/>
          <w:szCs w:val="24"/>
        </w:rPr>
      </w:pPr>
      <w:r w:rsidRPr="006C7B37">
        <w:rPr>
          <w:rFonts w:hint="eastAsia"/>
          <w:color w:val="0070C0"/>
          <w:szCs w:val="24"/>
          <w:lang w:val="en-US"/>
        </w:rPr>
        <w:t>Recommended for  discussion</w:t>
      </w:r>
    </w:p>
    <w:p w14:paraId="1EB054EA"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sv-SE"/>
        </w:rPr>
      </w:pPr>
      <w:r w:rsidRPr="006C7B37">
        <w:rPr>
          <w:rFonts w:eastAsia="Times New Roman" w:hint="eastAsia"/>
          <w:color w:val="0070C0"/>
          <w:lang w:val="en-US"/>
        </w:rPr>
        <w:t xml:space="preserve">Need further discussions which depends on the outcome of further studies in the previous issues. </w:t>
      </w:r>
    </w:p>
    <w:p w14:paraId="6DB660E8" w14:textId="2B2271A2" w:rsidR="006E0D2C" w:rsidRDefault="000F157A" w:rsidP="000F157A">
      <w:pPr>
        <w:overflowPunct/>
        <w:autoSpaceDE/>
        <w:autoSpaceDN/>
        <w:adjustRightInd/>
        <w:spacing w:after="120"/>
        <w:textAlignment w:val="auto"/>
        <w:rPr>
          <w:rFonts w:eastAsia="Times New Roman"/>
          <w:lang w:val="sv-SE"/>
        </w:rPr>
      </w:pPr>
      <w:r>
        <w:rPr>
          <w:rFonts w:eastAsia="Times New Roman"/>
          <w:lang w:val="sv-SE"/>
        </w:rPr>
        <w:t>We dot see the conducted MCL assumption to be relevant as its n</w:t>
      </w:r>
      <w:r w:rsidR="00C0171E">
        <w:rPr>
          <w:rFonts w:eastAsia="Times New Roman"/>
          <w:lang w:val="sv-SE"/>
        </w:rPr>
        <w:t>o</w:t>
      </w:r>
      <w:r>
        <w:rPr>
          <w:rFonts w:eastAsia="Times New Roman"/>
          <w:lang w:val="sv-SE"/>
        </w:rPr>
        <w:t xml:space="preserve">t used in derivation of any of the </w:t>
      </w:r>
      <w:r w:rsidR="006C7B37">
        <w:rPr>
          <w:rFonts w:eastAsia="Times New Roman"/>
          <w:lang w:val="sv-SE"/>
        </w:rPr>
        <w:t>OTA requirements.</w:t>
      </w:r>
    </w:p>
    <w:p w14:paraId="2E95DA20" w14:textId="4BB9611F" w:rsidR="006C7B37" w:rsidRPr="000F157A" w:rsidRDefault="006C7B37" w:rsidP="000F157A">
      <w:pPr>
        <w:overflowPunct/>
        <w:autoSpaceDE/>
        <w:autoSpaceDN/>
        <w:adjustRightInd/>
        <w:spacing w:after="120"/>
        <w:textAlignment w:val="auto"/>
        <w:rPr>
          <w:rFonts w:eastAsia="Times New Roman"/>
          <w:lang w:val="sv-SE"/>
        </w:rPr>
      </w:pPr>
      <w:r>
        <w:rPr>
          <w:rFonts w:eastAsia="Times New Roman"/>
          <w:lang w:val="sv-SE"/>
        </w:rPr>
        <w:t>The exception to this is when we make the decision to pottentially remove requirements (for example FR2 TX IMD) we use MCL assumptions to calculte the applicability of a particular requirement. However it does not directly use the MCL to set the level of teh requiremet as coupling is included in the OTA aspect of the requirement.</w:t>
      </w:r>
    </w:p>
    <w:p w14:paraId="08B0A490" w14:textId="77777777" w:rsidR="006E0D2C" w:rsidRPr="006C7B37" w:rsidRDefault="006E0D2C" w:rsidP="006E0D2C">
      <w:pPr>
        <w:rPr>
          <w:color w:val="0070C0"/>
          <w:lang w:val="en-US"/>
        </w:rPr>
      </w:pPr>
      <w:r w:rsidRPr="006C7B37">
        <w:rPr>
          <w:rFonts w:hint="eastAsia"/>
          <w:b/>
          <w:bCs/>
          <w:iCs/>
          <w:color w:val="0070C0"/>
          <w:lang w:val="en-US"/>
        </w:rPr>
        <w:t xml:space="preserve">Issue 3-4: the applicability of Tx IMD requirement </w:t>
      </w:r>
    </w:p>
    <w:p w14:paraId="7BA5DA96"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color w:val="0070C0"/>
          <w:lang w:val="sv-SE"/>
        </w:rPr>
      </w:pPr>
      <w:r w:rsidRPr="006C7B37">
        <w:rPr>
          <w:rFonts w:hint="eastAsia"/>
          <w:color w:val="0070C0"/>
          <w:lang w:val="en-US"/>
        </w:rPr>
        <w:t xml:space="preserve">Proposal: It is proposed to remove </w:t>
      </w:r>
      <w:r w:rsidRPr="006C7B37">
        <w:rPr>
          <w:rFonts w:hint="eastAsia"/>
          <w:color w:val="0070C0"/>
          <w:lang w:val="sv-SE"/>
        </w:rPr>
        <w:t>TX IMD requirements for high FR1 band, e.g. frequency bands above 4.2 GHz.</w:t>
      </w:r>
      <w:r w:rsidRPr="006C7B37">
        <w:rPr>
          <w:rFonts w:hint="eastAsia"/>
          <w:color w:val="0070C0"/>
          <w:lang w:val="en-US"/>
        </w:rPr>
        <w:t xml:space="preserve"> [Huawei]</w:t>
      </w:r>
    </w:p>
    <w:p w14:paraId="24BFA820" w14:textId="77777777" w:rsidR="006E0D2C" w:rsidRPr="006C7B37" w:rsidRDefault="006E0D2C" w:rsidP="006E0D2C">
      <w:pPr>
        <w:pStyle w:val="afff1"/>
        <w:numPr>
          <w:ilvl w:val="0"/>
          <w:numId w:val="10"/>
        </w:numPr>
        <w:overflowPunct/>
        <w:autoSpaceDE/>
        <w:autoSpaceDN/>
        <w:adjustRightInd/>
        <w:spacing w:after="120" w:line="259" w:lineRule="auto"/>
        <w:ind w:left="720" w:firstLineChars="0"/>
        <w:textAlignment w:val="auto"/>
        <w:rPr>
          <w:color w:val="0070C0"/>
          <w:szCs w:val="24"/>
        </w:rPr>
      </w:pPr>
      <w:r w:rsidRPr="006C7B37">
        <w:rPr>
          <w:rFonts w:hint="eastAsia"/>
          <w:color w:val="0070C0"/>
          <w:szCs w:val="24"/>
          <w:lang w:val="en-US"/>
        </w:rPr>
        <w:t>Recommended for  discussion</w:t>
      </w:r>
    </w:p>
    <w:p w14:paraId="67A1A25F" w14:textId="77777777" w:rsidR="006E0D2C" w:rsidRPr="006C7B37" w:rsidRDefault="006E0D2C" w:rsidP="006E0D2C">
      <w:pPr>
        <w:pStyle w:val="afff1"/>
        <w:numPr>
          <w:ilvl w:val="1"/>
          <w:numId w:val="10"/>
        </w:numPr>
        <w:overflowPunct/>
        <w:autoSpaceDE/>
        <w:autoSpaceDN/>
        <w:adjustRightInd/>
        <w:spacing w:after="120" w:line="259" w:lineRule="auto"/>
        <w:ind w:left="1440" w:firstLineChars="0"/>
        <w:textAlignment w:val="auto"/>
        <w:rPr>
          <w:rFonts w:eastAsia="Times New Roman"/>
          <w:color w:val="0070C0"/>
          <w:lang w:val="en-US"/>
        </w:rPr>
      </w:pPr>
      <w:r w:rsidRPr="006C7B37">
        <w:rPr>
          <w:rFonts w:eastAsia="Times New Roman" w:hint="eastAsia"/>
          <w:color w:val="0070C0"/>
          <w:lang w:val="en-US"/>
        </w:rPr>
        <w:t>Need further discussions.</w:t>
      </w:r>
    </w:p>
    <w:p w14:paraId="73FFCCA2" w14:textId="644A9AA5" w:rsidR="006E0D2C" w:rsidRDefault="006C7B37" w:rsidP="005443F3">
      <w:r>
        <w:t xml:space="preserve">This is an example of how we can use MCL data to investigate where it is mathematically possible to fail certain requirements as frequency (and hence isolation) increases. </w:t>
      </w:r>
      <w:r w:rsidR="00EF3FB4">
        <w:t>As discussed in [2], w</w:t>
      </w:r>
      <w:r>
        <w:t xml:space="preserve">e believe this is a valid method of removing unnecessary requirement </w:t>
      </w:r>
      <w:proofErr w:type="gramStart"/>
      <w:r>
        <w:t>s(</w:t>
      </w:r>
      <w:proofErr w:type="gramEnd"/>
      <w:r>
        <w:t>and hence test time) from the high frequency systems.</w:t>
      </w:r>
    </w:p>
    <w:p w14:paraId="1D1B961E" w14:textId="77777777" w:rsidR="00EF3FB4" w:rsidRPr="00EF3FB4" w:rsidRDefault="00EF3FB4" w:rsidP="005443F3">
      <w:pPr>
        <w:rPr>
          <w:lang w:val="en-US"/>
        </w:rPr>
      </w:pPr>
    </w:p>
    <w:p w14:paraId="14D4035A" w14:textId="6C40A502" w:rsidR="00A14A0B" w:rsidRDefault="00D16C4E" w:rsidP="005443F3">
      <w:pPr>
        <w:rPr>
          <w:b/>
        </w:rPr>
      </w:pPr>
      <w:r w:rsidRPr="00D16C4E">
        <w:rPr>
          <w:b/>
        </w:rPr>
        <w:t>Discussion ON CLTA</w:t>
      </w:r>
    </w:p>
    <w:p w14:paraId="07072EDF" w14:textId="34C217EC" w:rsidR="00D16C4E" w:rsidRDefault="00D16C4E" w:rsidP="005443F3">
      <w:r>
        <w:t xml:space="preserve">The issue of simplifying the selection of the CLTA seems to be missing from the open issues list. </w:t>
      </w:r>
    </w:p>
    <w:p w14:paraId="151C93ED" w14:textId="205A90F9" w:rsidR="00D16C4E" w:rsidRDefault="00D16C4E" w:rsidP="005443F3">
      <w:r>
        <w:t xml:space="preserve">Whilst it is understood that the practical definition of CLTA makes sourcing of antennas for all the bands which require co-location test provides a technical and logistical challenge, we would not like to “replace” the current system however proposals which demonstrate the measurements can be done with more standardised antennas are an interesting alternative. </w:t>
      </w:r>
      <w:r w:rsidR="00EF3FB4">
        <w:t>However,</w:t>
      </w:r>
      <w:r>
        <w:t xml:space="preserve"> as po</w:t>
      </w:r>
      <w:r w:rsidR="0024310C">
        <w:t>wer levels are so low it is quit</w:t>
      </w:r>
      <w:r>
        <w:t>e difficult to use a standard antenna to represent near field coupling and we have not seen a solution to this problem yet.</w:t>
      </w:r>
    </w:p>
    <w:p w14:paraId="4D786145" w14:textId="6962CAC0" w:rsidR="00EF3FB4" w:rsidRPr="00E011C0" w:rsidRDefault="00EF3FB4" w:rsidP="00EF3FB4">
      <w:pPr>
        <w:rPr>
          <w:lang w:val="en-US"/>
        </w:rPr>
      </w:pPr>
      <w:r w:rsidRPr="00FD0173">
        <w:rPr>
          <w:rFonts w:hint="eastAsia"/>
          <w:b/>
          <w:lang w:val="en-US"/>
        </w:rPr>
        <w:t>P</w:t>
      </w:r>
      <w:r w:rsidRPr="00FD0173">
        <w:rPr>
          <w:b/>
          <w:lang w:val="en-US"/>
        </w:rPr>
        <w:t xml:space="preserve">roposal: </w:t>
      </w:r>
      <w:r>
        <w:t>for CLTA the introduction of new antenna alternatives is ok as long as they are in parallel to the existing CLTA method rather than replacing it.</w:t>
      </w:r>
    </w:p>
    <w:p w14:paraId="37D3A41F" w14:textId="77777777" w:rsidR="00190C49" w:rsidRPr="00EF3FB4" w:rsidRDefault="00190C49" w:rsidP="005443F3">
      <w:pPr>
        <w:rPr>
          <w:lang w:val="en-US"/>
        </w:rPr>
      </w:pPr>
    </w:p>
    <w:p w14:paraId="38AC75BB" w14:textId="7C374E4E" w:rsidR="009A65B2" w:rsidRDefault="001A2EBF" w:rsidP="009A65B2">
      <w:pPr>
        <w:pStyle w:val="10"/>
      </w:pPr>
      <w:r>
        <w:lastRenderedPageBreak/>
        <w:t>4</w:t>
      </w:r>
      <w:r w:rsidR="009A65B2">
        <w:tab/>
      </w:r>
      <w:r w:rsidR="009A65B2" w:rsidRPr="00D53C29">
        <w:t>Summary</w:t>
      </w:r>
    </w:p>
    <w:p w14:paraId="056D24B1" w14:textId="3808B1E0" w:rsidR="00A14A0B" w:rsidRDefault="006C7B37" w:rsidP="00A14A0B">
      <w:r>
        <w:t>The open issues identified in the WF appear to be based upon investigating a new CLRA definition due to changes in antenna geometry and deployments associated with higher bands being used than those that were considered during the development of the OTA co-location requirements.</w:t>
      </w:r>
    </w:p>
    <w:p w14:paraId="54BF49AC" w14:textId="748E6FB6" w:rsidR="006C7B37" w:rsidRDefault="006C7B37" w:rsidP="009D77C4">
      <w:r>
        <w:t>Whilst there may be some scenarios where the CLRA definition could be updated if necessary we don’t see that there are any fundamental issues with the scenarios</w:t>
      </w:r>
      <w:r w:rsidR="00774327">
        <w:t>.</w:t>
      </w:r>
    </w:p>
    <w:p w14:paraId="3563CD35" w14:textId="1079AB60" w:rsidR="00EF3FB4" w:rsidRPr="00E011C0" w:rsidRDefault="00EF3FB4" w:rsidP="00EF3FB4">
      <w:pPr>
        <w:rPr>
          <w:lang w:val="en-US"/>
        </w:rPr>
      </w:pPr>
      <w:r w:rsidRPr="00FD0173">
        <w:rPr>
          <w:rFonts w:hint="eastAsia"/>
          <w:b/>
          <w:lang w:val="en-US"/>
        </w:rPr>
        <w:t>P</w:t>
      </w:r>
      <w:r w:rsidRPr="00FD0173">
        <w:rPr>
          <w:b/>
          <w:lang w:val="en-US"/>
        </w:rPr>
        <w:t xml:space="preserve">roposal: </w:t>
      </w:r>
      <w:bookmarkStart w:id="4" w:name="_GoBack"/>
      <w:r>
        <w:t>for CLTA the introduction of new antenna alternatives is ok as long as they are in parallel to the existing CLTA method rather than replacing it.</w:t>
      </w:r>
      <w:bookmarkEnd w:id="4"/>
    </w:p>
    <w:p w14:paraId="41384E55" w14:textId="6EDE5721" w:rsidR="00EF3FB4" w:rsidRPr="00EF3FB4" w:rsidRDefault="00EF3FB4" w:rsidP="00D16C4E">
      <w:pPr>
        <w:rPr>
          <w:lang w:val="en-US"/>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38DE4B" w14:textId="49E41C83" w:rsidR="00BF28F3" w:rsidRDefault="00865443" w:rsidP="00F919B2">
      <w:r>
        <w:t>[1]</w:t>
      </w:r>
      <w:r>
        <w:tab/>
      </w:r>
      <w:r w:rsidR="00046964" w:rsidRPr="00046964">
        <w:t>R4-24</w:t>
      </w:r>
      <w:r w:rsidR="00D16C4E">
        <w:t>13509</w:t>
      </w:r>
      <w:r w:rsidR="00EF3FB4">
        <w:t xml:space="preserve">, </w:t>
      </w:r>
      <w:r w:rsidR="00D16C4E" w:rsidRPr="00D16C4E">
        <w:t>WF for [</w:t>
      </w:r>
      <w:proofErr w:type="gramStart"/>
      <w:r w:rsidR="00D16C4E" w:rsidRPr="00D16C4E">
        <w:t>112][</w:t>
      </w:r>
      <w:proofErr w:type="gramEnd"/>
      <w:r w:rsidR="00D16C4E" w:rsidRPr="00D16C4E">
        <w:t>305] NR_BS_RF</w:t>
      </w:r>
      <w:r w:rsidR="00D16C4E">
        <w:t xml:space="preserve"> </w:t>
      </w:r>
      <w:r w:rsidR="00EF3FB4">
        <w:t>–</w:t>
      </w:r>
      <w:r w:rsidR="00D16C4E">
        <w:t xml:space="preserve"> ZTE</w:t>
      </w:r>
    </w:p>
    <w:p w14:paraId="2C194437" w14:textId="0E2ABEA8" w:rsidR="00EF3FB4" w:rsidRPr="00EF3FB4" w:rsidRDefault="00EF3FB4" w:rsidP="00F919B2">
      <w:r>
        <w:t xml:space="preserve">[2] </w:t>
      </w:r>
      <w:r w:rsidRPr="00EF3FB4">
        <w:t>R4-2413277</w:t>
      </w:r>
      <w:r>
        <w:t xml:space="preserve">, </w:t>
      </w:r>
      <w:r w:rsidRPr="00EF3FB4">
        <w:t>TX IMD requirements for high frequency band in FR1</w:t>
      </w:r>
    </w:p>
    <w:p w14:paraId="73612F33" w14:textId="77777777" w:rsidR="00BA72A8" w:rsidRDefault="00BA72A8">
      <w:pPr>
        <w:overflowPunct/>
        <w:autoSpaceDE/>
        <w:autoSpaceDN/>
        <w:adjustRightInd/>
        <w:spacing w:after="0"/>
        <w:textAlignment w:val="auto"/>
      </w:pPr>
    </w:p>
    <w:sectPr w:rsidR="00BA72A8"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BF9DC" w14:textId="77777777" w:rsidR="00677124" w:rsidRDefault="00677124">
      <w:r>
        <w:separator/>
      </w:r>
    </w:p>
  </w:endnote>
  <w:endnote w:type="continuationSeparator" w:id="0">
    <w:p w14:paraId="46E5E13C" w14:textId="77777777" w:rsidR="00677124" w:rsidRDefault="0067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500F39" w:rsidRPr="00D12FFA" w:rsidRDefault="00500F39">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3993A" w14:textId="77777777" w:rsidR="00677124" w:rsidRDefault="00677124">
      <w:r>
        <w:separator/>
      </w:r>
    </w:p>
  </w:footnote>
  <w:footnote w:type="continuationSeparator" w:id="0">
    <w:p w14:paraId="2958F0D5" w14:textId="77777777" w:rsidR="00677124" w:rsidRDefault="00677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7"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6"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3"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4" w15:restartNumberingAfterBreak="0">
    <w:nsid w:val="493709BE"/>
    <w:multiLevelType w:val="hybridMultilevel"/>
    <w:tmpl w:val="EB1C0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33147D3"/>
    <w:multiLevelType w:val="hybridMultilevel"/>
    <w:tmpl w:val="496E6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4"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1"/>
  </w:num>
  <w:num w:numId="3">
    <w:abstractNumId w:val="32"/>
  </w:num>
  <w:num w:numId="4">
    <w:abstractNumId w:val="31"/>
  </w:num>
  <w:num w:numId="5">
    <w:abstractNumId w:val="17"/>
  </w:num>
  <w:num w:numId="6">
    <w:abstractNumId w:val="26"/>
  </w:num>
  <w:num w:numId="7">
    <w:abstractNumId w:val="37"/>
  </w:num>
  <w:num w:numId="8">
    <w:abstractNumId w:val="14"/>
  </w:num>
  <w:num w:numId="9">
    <w:abstractNumId w:val="13"/>
  </w:num>
  <w:num w:numId="10">
    <w:abstractNumId w:val="28"/>
  </w:num>
  <w:num w:numId="11">
    <w:abstractNumId w:val="19"/>
  </w:num>
  <w:num w:numId="12">
    <w:abstractNumId w:val="8"/>
  </w:num>
  <w:num w:numId="13">
    <w:abstractNumId w:val="35"/>
  </w:num>
  <w:num w:numId="14">
    <w:abstractNumId w:val="5"/>
  </w:num>
  <w:num w:numId="15">
    <w:abstractNumId w:val="25"/>
  </w:num>
  <w:num w:numId="16">
    <w:abstractNumId w:val="22"/>
  </w:num>
  <w:num w:numId="17">
    <w:abstractNumId w:val="18"/>
  </w:num>
  <w:num w:numId="18">
    <w:abstractNumId w:val="1"/>
  </w:num>
  <w:num w:numId="19">
    <w:abstractNumId w:val="4"/>
  </w:num>
  <w:num w:numId="20">
    <w:abstractNumId w:val="12"/>
  </w:num>
  <w:num w:numId="21">
    <w:abstractNumId w:val="2"/>
  </w:num>
  <w:num w:numId="22">
    <w:abstractNumId w:val="9"/>
  </w:num>
  <w:num w:numId="23">
    <w:abstractNumId w:val="16"/>
  </w:num>
  <w:num w:numId="24">
    <w:abstractNumId w:val="34"/>
  </w:num>
  <w:num w:numId="25">
    <w:abstractNumId w:val="11"/>
  </w:num>
  <w:num w:numId="26">
    <w:abstractNumId w:val="3"/>
  </w:num>
  <w:num w:numId="27">
    <w:abstractNumId w:val="0"/>
  </w:num>
  <w:num w:numId="28">
    <w:abstractNumId w:val="7"/>
  </w:num>
  <w:num w:numId="29">
    <w:abstractNumId w:val="33"/>
  </w:num>
  <w:num w:numId="30">
    <w:abstractNumId w:val="36"/>
  </w:num>
  <w:num w:numId="31">
    <w:abstractNumId w:val="23"/>
  </w:num>
  <w:num w:numId="32">
    <w:abstractNumId w:val="15"/>
  </w:num>
  <w:num w:numId="33">
    <w:abstractNumId w:val="30"/>
  </w:num>
  <w:num w:numId="34">
    <w:abstractNumId w:val="29"/>
  </w:num>
  <w:num w:numId="35">
    <w:abstractNumId w:val="10"/>
  </w:num>
  <w:num w:numId="36">
    <w:abstractNumId w:val="6"/>
  </w:num>
  <w:num w:numId="37">
    <w:abstractNumId w:val="24"/>
  </w:num>
  <w:num w:numId="38">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358D"/>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B7FA4"/>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157A"/>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775"/>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49"/>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10C"/>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7EF"/>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2FB"/>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18B"/>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37992"/>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6DD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E9F"/>
    <w:rsid w:val="00390EAA"/>
    <w:rsid w:val="0039167C"/>
    <w:rsid w:val="0039296C"/>
    <w:rsid w:val="00393614"/>
    <w:rsid w:val="003936F2"/>
    <w:rsid w:val="003937AE"/>
    <w:rsid w:val="00393873"/>
    <w:rsid w:val="00393C3F"/>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5B7"/>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694"/>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2E2"/>
    <w:rsid w:val="0067430E"/>
    <w:rsid w:val="006755C2"/>
    <w:rsid w:val="00675884"/>
    <w:rsid w:val="00675C27"/>
    <w:rsid w:val="00675F92"/>
    <w:rsid w:val="0067642E"/>
    <w:rsid w:val="0067691F"/>
    <w:rsid w:val="00677124"/>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B37"/>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D7294"/>
    <w:rsid w:val="006E09A8"/>
    <w:rsid w:val="006E0C6C"/>
    <w:rsid w:val="006E0CC1"/>
    <w:rsid w:val="006E0D2C"/>
    <w:rsid w:val="006E0F0A"/>
    <w:rsid w:val="006E0F17"/>
    <w:rsid w:val="006E10E9"/>
    <w:rsid w:val="006E12C2"/>
    <w:rsid w:val="006E141E"/>
    <w:rsid w:val="006E14EA"/>
    <w:rsid w:val="006E159E"/>
    <w:rsid w:val="006E2120"/>
    <w:rsid w:val="006E3403"/>
    <w:rsid w:val="006E3408"/>
    <w:rsid w:val="006E3575"/>
    <w:rsid w:val="006E3A57"/>
    <w:rsid w:val="006E3B03"/>
    <w:rsid w:val="006E3BA7"/>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327"/>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49"/>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50"/>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E0B"/>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2190"/>
    <w:rsid w:val="009231E8"/>
    <w:rsid w:val="0092342A"/>
    <w:rsid w:val="0092367B"/>
    <w:rsid w:val="00923D36"/>
    <w:rsid w:val="00924145"/>
    <w:rsid w:val="009251E0"/>
    <w:rsid w:val="00925225"/>
    <w:rsid w:val="00925E77"/>
    <w:rsid w:val="0092635A"/>
    <w:rsid w:val="009271B9"/>
    <w:rsid w:val="00927C24"/>
    <w:rsid w:val="0093032D"/>
    <w:rsid w:val="0093035B"/>
    <w:rsid w:val="0093061F"/>
    <w:rsid w:val="009307A4"/>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B1B"/>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338"/>
    <w:rsid w:val="009D6EB2"/>
    <w:rsid w:val="009D77C4"/>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A0B"/>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1A01"/>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5BD"/>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6F6"/>
    <w:rsid w:val="00BB488B"/>
    <w:rsid w:val="00BB4A48"/>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8A"/>
    <w:rsid w:val="00C0165F"/>
    <w:rsid w:val="00C0171E"/>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5FD7"/>
    <w:rsid w:val="00C46504"/>
    <w:rsid w:val="00C46D24"/>
    <w:rsid w:val="00C474D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C4E"/>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A7"/>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B11"/>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3FB4"/>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7DD5D-8E67-4AC3-BC38-593F45BF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TotalTime>
  <Pages>4</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2024-10-02T11:43:00Z</dcterms:created>
  <dcterms:modified xsi:type="dcterms:W3CDTF">2024-10-07T12:04:00Z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1727433217</vt:lpwstr>
  </property>
</Properties>
</file>